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391B18">
        <w:rPr>
          <w:b/>
          <w:bCs/>
          <w:sz w:val="24"/>
          <w:szCs w:val="24"/>
        </w:rPr>
        <w:t>12</w:t>
      </w:r>
      <w:r w:rsidRPr="00332BC3">
        <w:rPr>
          <w:b/>
          <w:bCs/>
          <w:sz w:val="24"/>
          <w:szCs w:val="24"/>
        </w:rPr>
        <w:t xml:space="preserve"> </w:t>
      </w:r>
      <w:r w:rsidR="00391B18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543B38">
        <w:rPr>
          <w:rFonts w:ascii="Times New Roman" w:hAnsi="Times New Roman" w:cs="Times New Roman"/>
          <w:sz w:val="24"/>
          <w:szCs w:val="24"/>
        </w:rPr>
        <w:t>28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391B18">
        <w:rPr>
          <w:rFonts w:ascii="Times New Roman" w:hAnsi="Times New Roman" w:cs="Times New Roman"/>
          <w:sz w:val="24"/>
          <w:szCs w:val="24"/>
        </w:rPr>
        <w:t>февраля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3854D8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543B38">
        <w:rPr>
          <w:rFonts w:ascii="Times New Roman" w:hAnsi="Times New Roman" w:cs="Times New Roman"/>
          <w:sz w:val="24"/>
          <w:szCs w:val="24"/>
        </w:rPr>
        <w:t>104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3854D8">
        <w:rPr>
          <w:bCs/>
        </w:rPr>
        <w:t>1</w:t>
      </w:r>
      <w:r w:rsidR="00391B18">
        <w:rPr>
          <w:bCs/>
        </w:rPr>
        <w:t>3</w:t>
      </w:r>
      <w:r w:rsidR="00E761DD">
        <w:rPr>
          <w:bCs/>
        </w:rPr>
        <w:t xml:space="preserve"> </w:t>
      </w:r>
      <w:r w:rsidR="00391B18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391B18">
        <w:rPr>
          <w:bCs/>
        </w:rPr>
        <w:t>13</w:t>
      </w:r>
      <w:r w:rsidR="00E761DD">
        <w:rPr>
          <w:bCs/>
        </w:rPr>
        <w:t xml:space="preserve"> </w:t>
      </w:r>
      <w:r w:rsidR="00391B18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391B18">
        <w:rPr>
          <w:bCs/>
        </w:rPr>
        <w:t>07</w:t>
      </w:r>
      <w:r w:rsidR="00E761DD">
        <w:rPr>
          <w:bCs/>
        </w:rPr>
        <w:t xml:space="preserve"> </w:t>
      </w:r>
      <w:r w:rsidR="00391B18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391B18">
        <w:rPr>
          <w:bCs/>
        </w:rPr>
        <w:t>09</w:t>
      </w:r>
      <w:r w:rsidR="00E761DD">
        <w:rPr>
          <w:bCs/>
        </w:rPr>
        <w:t xml:space="preserve"> </w:t>
      </w:r>
      <w:r w:rsidR="00391B18">
        <w:rPr>
          <w:bCs/>
        </w:rPr>
        <w:t>апреля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391B18">
        <w:rPr>
          <w:bCs/>
        </w:rPr>
        <w:t>160120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391B18">
        <w:rPr>
          <w:color w:val="000000" w:themeColor="text1"/>
        </w:rPr>
        <w:t>16</w:t>
      </w:r>
      <w:r w:rsidRPr="004D0CEF">
        <w:rPr>
          <w:color w:val="333333"/>
        </w:rPr>
        <w:t>.</w:t>
      </w:r>
      <w:r w:rsidR="003854D8">
        <w:rPr>
          <w:color w:val="333333"/>
        </w:rPr>
        <w:t>0</w:t>
      </w:r>
      <w:r w:rsidR="00391B18">
        <w:rPr>
          <w:color w:val="333333"/>
        </w:rPr>
        <w:t>1</w:t>
      </w:r>
      <w:r w:rsidRPr="004D0CEF">
        <w:rPr>
          <w:color w:val="333333"/>
        </w:rPr>
        <w:t>.20</w:t>
      </w:r>
      <w:r w:rsidR="00391B18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391B18">
        <w:t>2966</w:t>
      </w:r>
      <w:r w:rsidR="00652105" w:rsidRPr="007B4A94">
        <w:t xml:space="preserve"> кв.м., кадастровый номер 38:15:</w:t>
      </w:r>
      <w:r w:rsidR="00391B18">
        <w:t>080302</w:t>
      </w:r>
      <w:r w:rsidR="00652105" w:rsidRPr="007B4A94">
        <w:t>:</w:t>
      </w:r>
      <w:r w:rsidR="00391B18">
        <w:t>285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391B18">
        <w:t>п. Целинные Земли</w:t>
      </w:r>
      <w:r w:rsidR="00E212B3">
        <w:t>, ул</w:t>
      </w:r>
      <w:r w:rsidR="00391B18">
        <w:t>.</w:t>
      </w:r>
      <w:r w:rsidR="003854D8">
        <w:t xml:space="preserve"> </w:t>
      </w:r>
      <w:r w:rsidR="00391B18">
        <w:t>Шолохова</w:t>
      </w:r>
      <w:r w:rsidR="003854D8">
        <w:t xml:space="preserve">, </w:t>
      </w:r>
      <w:r w:rsidR="00391B18">
        <w:t>39-1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3854D8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391B18">
        <w:rPr>
          <w:bCs/>
        </w:rPr>
        <w:t>Гуранского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6A3D6A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6A3D6A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A3D6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3D6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A3D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C7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6A3D6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DC7EB3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6A3D6A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="00DC7E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proofErr w:type="spellStart"/>
      <w:r w:rsidR="006A3D6A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A3D6A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6A3D6A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sz w:val="24"/>
          <w:szCs w:val="24"/>
        </w:rPr>
        <w:t xml:space="preserve">№ </w:t>
      </w:r>
      <w:r w:rsidR="006A3D6A">
        <w:rPr>
          <w:rFonts w:ascii="Times New Roman" w:hAnsi="Times New Roman" w:cs="Times New Roman"/>
          <w:sz w:val="24"/>
          <w:szCs w:val="24"/>
        </w:rPr>
        <w:t>5 (в редакции решения от 16.05.2016 г. № 8, от 13.03.2017 №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2DF">
        <w:rPr>
          <w:rFonts w:ascii="Times New Roman" w:hAnsi="Times New Roman" w:cs="Times New Roman"/>
          <w:bCs/>
          <w:sz w:val="24"/>
          <w:szCs w:val="24"/>
        </w:rPr>
        <w:t>24230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A32DF">
        <w:rPr>
          <w:rFonts w:ascii="Times New Roman" w:eastAsia="Calibri" w:hAnsi="Times New Roman" w:cs="Times New Roman"/>
          <w:sz w:val="24"/>
          <w:szCs w:val="24"/>
        </w:rPr>
        <w:t>Двадцать четыре</w:t>
      </w:r>
      <w:r w:rsidR="00DC7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2A32DF">
        <w:rPr>
          <w:rFonts w:ascii="Times New Roman" w:eastAsia="Calibri" w:hAnsi="Times New Roman" w:cs="Times New Roman"/>
          <w:sz w:val="24"/>
          <w:szCs w:val="24"/>
        </w:rPr>
        <w:t>и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2DF">
        <w:rPr>
          <w:rFonts w:ascii="Times New Roman" w:eastAsia="Calibri" w:hAnsi="Times New Roman" w:cs="Times New Roman"/>
          <w:sz w:val="24"/>
          <w:szCs w:val="24"/>
        </w:rPr>
        <w:t>двести тридцать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2A32DF">
        <w:rPr>
          <w:rFonts w:ascii="Times New Roman" w:hAnsi="Times New Roman" w:cs="Times New Roman"/>
          <w:sz w:val="24"/>
          <w:szCs w:val="24"/>
        </w:rPr>
        <w:t>726,90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A32DF">
        <w:rPr>
          <w:rFonts w:ascii="Times New Roman" w:eastAsia="Calibri" w:hAnsi="Times New Roman" w:cs="Times New Roman"/>
          <w:sz w:val="24"/>
          <w:szCs w:val="24"/>
        </w:rPr>
        <w:t>Семьсот двадцать шесть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2A32DF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2DF">
        <w:rPr>
          <w:rFonts w:ascii="Times New Roman" w:eastAsia="Calibri" w:hAnsi="Times New Roman" w:cs="Times New Roman"/>
          <w:sz w:val="24"/>
          <w:szCs w:val="24"/>
        </w:rPr>
        <w:t>9</w:t>
      </w:r>
      <w:r w:rsidR="00DC7EB3">
        <w:rPr>
          <w:rFonts w:ascii="Times New Roman" w:eastAsia="Calibri" w:hAnsi="Times New Roman" w:cs="Times New Roman"/>
          <w:sz w:val="24"/>
          <w:szCs w:val="24"/>
        </w:rPr>
        <w:t>0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2A32DF">
        <w:rPr>
          <w:rFonts w:ascii="Times New Roman" w:hAnsi="Times New Roman" w:cs="Times New Roman"/>
          <w:bCs/>
          <w:sz w:val="24"/>
          <w:szCs w:val="24"/>
        </w:rPr>
        <w:t>24230</w:t>
      </w:r>
      <w:r w:rsidR="002A32DF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A32DF">
        <w:rPr>
          <w:rFonts w:ascii="Times New Roman" w:eastAsia="Calibri" w:hAnsi="Times New Roman" w:cs="Times New Roman"/>
          <w:sz w:val="24"/>
          <w:szCs w:val="24"/>
        </w:rPr>
        <w:t>Двадцать четыре тысячи двести тридцать</w:t>
      </w:r>
      <w:r w:rsidR="002A32DF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2A32DF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2A32DF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6326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A32DF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91B1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3B38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A3D6A"/>
    <w:rsid w:val="006C242E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F7B72"/>
    <w:rsid w:val="008020FE"/>
    <w:rsid w:val="008215F8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19BD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3413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2020-03-04T02:01:00Z</cp:lastPrinted>
  <dcterms:created xsi:type="dcterms:W3CDTF">2015-10-02T02:08:00Z</dcterms:created>
  <dcterms:modified xsi:type="dcterms:W3CDTF">2020-03-04T02:02:00Z</dcterms:modified>
</cp:coreProperties>
</file>